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5D" w:rsidRPr="00B1485D" w:rsidRDefault="00340732" w:rsidP="0034073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                                                           </w:t>
      </w:r>
      <w:r w:rsidR="00B1485D" w:rsidRPr="00B1485D">
        <w:rPr>
          <w:rFonts w:eastAsia="Times New Roman"/>
          <w:bCs/>
          <w:lang w:eastAsia="ru-RU"/>
        </w:rPr>
        <w:t>Приложение</w:t>
      </w:r>
    </w:p>
    <w:p w:rsidR="00B1485D" w:rsidRPr="00B1485D" w:rsidRDefault="00B1485D" w:rsidP="00B1485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right"/>
        <w:outlineLvl w:val="1"/>
        <w:rPr>
          <w:rFonts w:eastAsia="Times New Roman"/>
          <w:bCs/>
          <w:lang w:eastAsia="ru-RU"/>
        </w:rPr>
      </w:pPr>
      <w:r w:rsidRPr="00B1485D">
        <w:rPr>
          <w:rFonts w:eastAsia="Times New Roman"/>
          <w:bCs/>
          <w:lang w:eastAsia="ru-RU"/>
        </w:rPr>
        <w:t xml:space="preserve"> к постановлению Правительства</w:t>
      </w:r>
    </w:p>
    <w:p w:rsidR="00B1485D" w:rsidRPr="00B1485D" w:rsidRDefault="00B1485D" w:rsidP="00B1485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right"/>
        <w:outlineLvl w:val="1"/>
        <w:rPr>
          <w:rFonts w:eastAsia="Times New Roman"/>
          <w:bCs/>
          <w:lang w:eastAsia="ru-RU"/>
        </w:rPr>
      </w:pPr>
      <w:r w:rsidRPr="00B1485D">
        <w:rPr>
          <w:rFonts w:eastAsia="Times New Roman"/>
          <w:bCs/>
          <w:lang w:eastAsia="ru-RU"/>
        </w:rPr>
        <w:t xml:space="preserve"> Ханты-Мансийского</w:t>
      </w:r>
    </w:p>
    <w:p w:rsidR="00B1485D" w:rsidRPr="00B1485D" w:rsidRDefault="00B1485D" w:rsidP="00B1485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right"/>
        <w:outlineLvl w:val="1"/>
        <w:rPr>
          <w:rFonts w:eastAsia="Times New Roman"/>
          <w:bCs/>
          <w:lang w:eastAsia="ru-RU"/>
        </w:rPr>
      </w:pPr>
      <w:r w:rsidRPr="00B1485D">
        <w:rPr>
          <w:rFonts w:eastAsia="Times New Roman"/>
          <w:bCs/>
          <w:lang w:eastAsia="ru-RU"/>
        </w:rPr>
        <w:t xml:space="preserve"> автономного округа – Югры</w:t>
      </w:r>
      <w:bookmarkStart w:id="0" w:name="_GoBack"/>
      <w:bookmarkEnd w:id="0"/>
    </w:p>
    <w:p w:rsidR="00B1485D" w:rsidRPr="00340732" w:rsidRDefault="00C87F14" w:rsidP="0034073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right"/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от 28</w:t>
      </w:r>
      <w:r w:rsidR="00B1485D">
        <w:rPr>
          <w:rFonts w:eastAsia="Times New Roman"/>
          <w:bCs/>
          <w:lang w:eastAsia="ru-RU"/>
        </w:rPr>
        <w:t xml:space="preserve"> декабря 2024</w:t>
      </w:r>
      <w:r w:rsidR="00156627">
        <w:rPr>
          <w:rFonts w:eastAsia="Times New Roman"/>
          <w:bCs/>
          <w:lang w:eastAsia="ru-RU"/>
        </w:rPr>
        <w:t xml:space="preserve"> года № 567</w:t>
      </w:r>
      <w:r w:rsidR="00B1485D" w:rsidRPr="00B1485D">
        <w:rPr>
          <w:rFonts w:eastAsia="Times New Roman"/>
          <w:bCs/>
          <w:lang w:eastAsia="ru-RU"/>
        </w:rPr>
        <w:t>-п</w:t>
      </w:r>
    </w:p>
    <w:p w:rsidR="00B1485D" w:rsidRDefault="00B1485D" w:rsidP="00B1485D">
      <w:pPr>
        <w:pStyle w:val="ConsPlusTitl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</w:pPr>
    </w:p>
    <w:p w:rsidR="00B1485D" w:rsidRDefault="00B1485D" w:rsidP="00B1485D">
      <w:pPr>
        <w:pStyle w:val="ConsPlusTitl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Целевые значения критериев доступности и качества</w:t>
      </w:r>
    </w:p>
    <w:p w:rsidR="00B1485D" w:rsidRDefault="00B1485D" w:rsidP="00B1485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медицинской помощи, оказываемой в ходе Территориальной программы</w:t>
      </w:r>
    </w:p>
    <w:p w:rsidR="00B1485D" w:rsidRDefault="00B1485D" w:rsidP="00B1485D">
      <w:pPr>
        <w:pStyle w:val="ConsPlusNormal"/>
        <w:jc w:val="right"/>
        <w:outlineLvl w:val="2"/>
        <w:rPr>
          <w:color w:val="000000" w:themeColor="text1"/>
          <w:sz w:val="28"/>
          <w:szCs w:val="28"/>
          <w:lang w:val="ru-RU"/>
        </w:rPr>
      </w:pPr>
    </w:p>
    <w:p w:rsidR="00B1485D" w:rsidRPr="00340732" w:rsidRDefault="00B1485D" w:rsidP="00340732">
      <w:pPr>
        <w:pStyle w:val="ConsPlusNormal"/>
        <w:jc w:val="right"/>
        <w:outlineLvl w:val="2"/>
        <w:rPr>
          <w:color w:val="000000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Таблица 7</w:t>
      </w:r>
    </w:p>
    <w:tbl>
      <w:tblPr>
        <w:tblStyle w:val="a3"/>
        <w:tblW w:w="96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6"/>
        <w:gridCol w:w="4025"/>
        <w:gridCol w:w="1701"/>
        <w:gridCol w:w="958"/>
        <w:gridCol w:w="992"/>
        <w:gridCol w:w="1276"/>
      </w:tblGrid>
      <w:tr w:rsidR="00B1485D" w:rsidTr="003A76BA">
        <w:tc>
          <w:tcPr>
            <w:tcW w:w="686" w:type="dxa"/>
            <w:vMerge w:val="restart"/>
          </w:tcPr>
          <w:p w:rsidR="00B1485D" w:rsidRDefault="00B1485D" w:rsidP="003A76BA">
            <w:pPr>
              <w:pStyle w:val="ConsPlusNormal"/>
              <w:jc w:val="center"/>
            </w:pPr>
            <w:r>
              <w:rPr>
                <w:lang w:val="ru-RU"/>
              </w:rPr>
              <w:t>№</w:t>
            </w:r>
            <w:r>
              <w:t xml:space="preserve"> п/п</w:t>
            </w:r>
          </w:p>
        </w:tc>
        <w:tc>
          <w:tcPr>
            <w:tcW w:w="4025" w:type="dxa"/>
            <w:vMerge w:val="restart"/>
          </w:tcPr>
          <w:p w:rsidR="00B1485D" w:rsidRDefault="00B1485D" w:rsidP="003A76BA">
            <w:pPr>
              <w:pStyle w:val="ConsPlusNormal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критерия</w:t>
            </w:r>
            <w:proofErr w:type="spellEnd"/>
          </w:p>
        </w:tc>
        <w:tc>
          <w:tcPr>
            <w:tcW w:w="1701" w:type="dxa"/>
            <w:vMerge w:val="restart"/>
          </w:tcPr>
          <w:p w:rsidR="00B1485D" w:rsidRDefault="00B1485D" w:rsidP="003A76BA">
            <w:pPr>
              <w:pStyle w:val="ConsPlusNormal"/>
              <w:jc w:val="center"/>
            </w:pPr>
            <w:proofErr w:type="spellStart"/>
            <w:r>
              <w:t>Единицы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3226" w:type="dxa"/>
            <w:gridSpan w:val="3"/>
          </w:tcPr>
          <w:p w:rsidR="00B1485D" w:rsidRDefault="00B1485D" w:rsidP="003A76BA">
            <w:pPr>
              <w:pStyle w:val="ConsPlusNormal"/>
              <w:jc w:val="center"/>
            </w:pPr>
            <w:proofErr w:type="spellStart"/>
            <w:r>
              <w:t>Целевое</w:t>
            </w:r>
            <w:proofErr w:type="spellEnd"/>
            <w:r>
              <w:t xml:space="preserve"> </w:t>
            </w:r>
            <w:proofErr w:type="spellStart"/>
            <w:r>
              <w:t>значение</w:t>
            </w:r>
            <w:proofErr w:type="spellEnd"/>
          </w:p>
        </w:tc>
      </w:tr>
      <w:tr w:rsidR="00B1485D" w:rsidTr="003A76BA">
        <w:tc>
          <w:tcPr>
            <w:tcW w:w="686" w:type="dxa"/>
            <w:vMerge/>
          </w:tcPr>
          <w:p w:rsidR="00B1485D" w:rsidRDefault="00B1485D" w:rsidP="003A76BA">
            <w:pPr>
              <w:pStyle w:val="ConsPlusNormal"/>
              <w:jc w:val="center"/>
            </w:pPr>
          </w:p>
        </w:tc>
        <w:tc>
          <w:tcPr>
            <w:tcW w:w="4025" w:type="dxa"/>
            <w:vMerge/>
          </w:tcPr>
          <w:p w:rsidR="00B1485D" w:rsidRDefault="00B1485D" w:rsidP="003A76BA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B1485D" w:rsidRDefault="00B1485D" w:rsidP="003A76B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  <w:jc w:val="center"/>
            </w:pPr>
            <w:r>
              <w:t>202</w:t>
            </w:r>
            <w:r>
              <w:rPr>
                <w:lang w:val="ru-RU"/>
              </w:rPr>
              <w:t>5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  <w:jc w:val="center"/>
            </w:pPr>
            <w:r>
              <w:t>202</w:t>
            </w:r>
            <w:r>
              <w:rPr>
                <w:lang w:val="ru-RU"/>
              </w:rPr>
              <w:t>6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  <w:jc w:val="center"/>
            </w:pPr>
            <w:r>
              <w:t>202</w:t>
            </w:r>
            <w:r>
              <w:rPr>
                <w:lang w:val="ru-RU"/>
              </w:rPr>
              <w:t>7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B1485D" w:rsidTr="003A76BA">
        <w:tc>
          <w:tcPr>
            <w:tcW w:w="9638" w:type="dxa"/>
            <w:gridSpan w:val="6"/>
          </w:tcPr>
          <w:p w:rsidR="00B1485D" w:rsidRDefault="00B1485D" w:rsidP="003A76BA">
            <w:pPr>
              <w:pStyle w:val="ConsPlusNormal"/>
              <w:outlineLvl w:val="2"/>
              <w:rPr>
                <w:lang w:val="ru-RU"/>
              </w:rPr>
            </w:pPr>
            <w:r>
              <w:t>I</w:t>
            </w:r>
            <w:r>
              <w:rPr>
                <w:lang w:val="ru-RU"/>
              </w:rPr>
              <w:t>. Критерии доступности медицинской помощи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Удовлетворенность населения доступностью медицинской помощи, в том числе</w:t>
            </w:r>
          </w:p>
        </w:tc>
        <w:tc>
          <w:tcPr>
            <w:tcW w:w="1701" w:type="dxa"/>
            <w:vMerge w:val="restart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процент</w:t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опрошенных</w:t>
            </w:r>
            <w:proofErr w:type="spellEnd"/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  <w:rPr>
                <w:highlight w:val="yellow"/>
              </w:rPr>
            </w:pPr>
            <w:r>
              <w:rPr>
                <w:lang w:val="ru-RU"/>
              </w:rPr>
              <w:t>60,6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  <w:rPr>
                <w:highlight w:val="yellow"/>
              </w:rPr>
            </w:pPr>
            <w:r>
              <w:rPr>
                <w:lang w:val="ru-RU"/>
              </w:rPr>
              <w:t>61,3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  <w:rPr>
                <w:highlight w:val="yellow"/>
              </w:rPr>
            </w:pPr>
            <w:r>
              <w:rPr>
                <w:lang w:val="ru-RU"/>
              </w:rPr>
              <w:t>61,8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1.1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Городского</w:t>
            </w:r>
            <w:proofErr w:type="spellEnd"/>
            <w:r>
              <w:t xml:space="preserve"> </w:t>
            </w:r>
            <w:proofErr w:type="spellStart"/>
            <w:r>
              <w:t>населения</w:t>
            </w:r>
            <w:proofErr w:type="spellEnd"/>
          </w:p>
        </w:tc>
        <w:tc>
          <w:tcPr>
            <w:tcW w:w="1701" w:type="dxa"/>
            <w:vMerge/>
          </w:tcPr>
          <w:p w:rsidR="00B1485D" w:rsidRDefault="00B1485D" w:rsidP="003A76BA">
            <w:pPr>
              <w:pStyle w:val="ConsPlusNormal"/>
            </w:pP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  <w:rPr>
                <w:highlight w:val="yellow"/>
              </w:rPr>
            </w:pPr>
            <w:r>
              <w:rPr>
                <w:lang w:val="ru-RU"/>
              </w:rPr>
              <w:t>60,6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  <w:rPr>
                <w:highlight w:val="yellow"/>
              </w:rPr>
            </w:pPr>
            <w:r>
              <w:rPr>
                <w:lang w:val="ru-RU"/>
              </w:rPr>
              <w:t>61,3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  <w:rPr>
                <w:highlight w:val="yellow"/>
              </w:rPr>
            </w:pPr>
            <w:r>
              <w:rPr>
                <w:lang w:val="ru-RU"/>
              </w:rPr>
              <w:t>61,8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1.2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населения</w:t>
            </w:r>
            <w:proofErr w:type="spellEnd"/>
          </w:p>
        </w:tc>
        <w:tc>
          <w:tcPr>
            <w:tcW w:w="1701" w:type="dxa"/>
            <w:vMerge/>
          </w:tcPr>
          <w:p w:rsidR="00B1485D" w:rsidRDefault="00B1485D" w:rsidP="003A76BA">
            <w:pPr>
              <w:pStyle w:val="ConsPlusNormal"/>
            </w:pP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  <w:rPr>
                <w:highlight w:val="yellow"/>
              </w:rPr>
            </w:pPr>
            <w:r>
              <w:rPr>
                <w:lang w:val="ru-RU"/>
              </w:rPr>
              <w:t>60,6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  <w:rPr>
                <w:highlight w:val="yellow"/>
              </w:rPr>
            </w:pPr>
            <w:r>
              <w:rPr>
                <w:lang w:val="ru-RU"/>
              </w:rPr>
              <w:t>61,3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  <w:rPr>
                <w:highlight w:val="yellow"/>
              </w:rPr>
            </w:pPr>
            <w:r>
              <w:rPr>
                <w:lang w:val="ru-RU"/>
              </w:rPr>
              <w:t>61,8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5</w:t>
            </w:r>
            <w:r>
              <w:t>,</w:t>
            </w: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5,9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6,</w:t>
            </w:r>
            <w:r>
              <w:rPr>
                <w:lang w:val="ru-RU"/>
              </w:rPr>
              <w:t>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3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1,4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1,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1,5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4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соответствии с территориальной программой ОМС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1,6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1,6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1,6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5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0,75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0,75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0,75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число пациентов, которым оказана паллиативная медицинская помощь по месту их фактического пребывания за пределами автономного округа, на территории которого указанные пациенты зарегистрированы по месту жительства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7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число пациентов, зарегистрированных в автономном округе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-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-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8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8</w:t>
            </w:r>
            <w:r>
              <w:rPr>
                <w:lang w:val="ru-RU"/>
              </w:rPr>
              <w:t>5</w:t>
            </w:r>
            <w:r>
              <w:t>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8</w:t>
            </w:r>
            <w:r>
              <w:rPr>
                <w:lang w:val="ru-RU"/>
              </w:rPr>
              <w:t>5</w:t>
            </w:r>
            <w:r>
              <w:t>,5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8</w:t>
            </w:r>
            <w:r>
              <w:rPr>
                <w:lang w:val="ru-RU"/>
              </w:rPr>
              <w:t>6</w:t>
            </w:r>
            <w:r>
              <w:t>,0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9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65,0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70,0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75,0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10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ходе диспансерного наблюдения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90,0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90,0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90,0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11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детей в возрасте от 2 до 17 лет с диагнозом «сахарный диабет»,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н</w:t>
            </w:r>
            <w:r>
              <w:t xml:space="preserve">е </w:t>
            </w:r>
            <w:proofErr w:type="spellStart"/>
            <w:r>
              <w:t>менее</w:t>
            </w:r>
            <w:proofErr w:type="spellEnd"/>
            <w:r>
              <w:t xml:space="preserve"> 85,0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н</w:t>
            </w:r>
            <w:r>
              <w:t xml:space="preserve">е </w:t>
            </w:r>
            <w:proofErr w:type="spellStart"/>
            <w:r>
              <w:t>менее</w:t>
            </w:r>
            <w:proofErr w:type="spellEnd"/>
            <w:r>
              <w:t xml:space="preserve"> 85,0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н</w:t>
            </w:r>
            <w:r>
              <w:t xml:space="preserve">е </w:t>
            </w:r>
            <w:proofErr w:type="spellStart"/>
            <w:r>
              <w:t>менее</w:t>
            </w:r>
            <w:proofErr w:type="spellEnd"/>
            <w:r>
              <w:t xml:space="preserve"> 85,0</w:t>
            </w:r>
          </w:p>
        </w:tc>
      </w:tr>
      <w:tr w:rsidR="00B1485D" w:rsidTr="003A76BA">
        <w:tc>
          <w:tcPr>
            <w:tcW w:w="9638" w:type="dxa"/>
            <w:gridSpan w:val="6"/>
          </w:tcPr>
          <w:p w:rsidR="00B1485D" w:rsidRDefault="00B1485D" w:rsidP="003A76BA">
            <w:pPr>
              <w:pStyle w:val="ConsPlusNormal"/>
              <w:outlineLvl w:val="2"/>
              <w:rPr>
                <w:lang w:val="ru-RU"/>
              </w:rPr>
            </w:pPr>
            <w:r>
              <w:t>II</w:t>
            </w:r>
            <w:r>
              <w:rPr>
                <w:lang w:val="ru-RU"/>
              </w:rPr>
              <w:t>. Критерии качества медицинской помощи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впервые выявленных заболеваний при профилактических медицинских осмотрах, в том числе в ходе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2,</w:t>
            </w:r>
            <w:r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2,</w:t>
            </w: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2,</w:t>
            </w:r>
            <w:r>
              <w:rPr>
                <w:lang w:val="ru-RU"/>
              </w:rPr>
              <w:t>6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Доля впервые выявленных заболеваний при профилактических </w:t>
            </w:r>
            <w:r>
              <w:rPr>
                <w:lang w:val="ru-RU"/>
              </w:rPr>
              <w:lastRenderedPageBreak/>
              <w:t>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3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Доля впервые выявленных онкологических заболеваний при профилактических медицинских осмотрах, в том числе в ходе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4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4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впервые выявленных онкологических заболеваний при профилактических медицинских осмотрах, в том числе в ходе диспансеризации, от общего количества лиц, прошедших указанные осмотры;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0,28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0,29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0,31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5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14,6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14,6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14,6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6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70,0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70,0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70,0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7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 острым инфарктом миокарда, которым проведено </w:t>
            </w:r>
            <w:proofErr w:type="spellStart"/>
            <w:r>
              <w:rPr>
                <w:lang w:val="ru-RU"/>
              </w:rPr>
              <w:t>стентирование</w:t>
            </w:r>
            <w:proofErr w:type="spellEnd"/>
            <w:r>
              <w:rPr>
                <w:lang w:val="ru-RU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78,0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78</w:t>
            </w:r>
            <w:r>
              <w:t>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78</w:t>
            </w:r>
            <w:r>
              <w:t>,0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8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>
              <w:rPr>
                <w:lang w:val="ru-RU"/>
              </w:rPr>
              <w:t>тромболизис</w:t>
            </w:r>
            <w:proofErr w:type="spellEnd"/>
            <w:r>
              <w:rPr>
                <w:lang w:val="ru-RU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94,3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9</w:t>
            </w:r>
            <w:r>
              <w:rPr>
                <w:lang w:val="ru-RU"/>
              </w:rPr>
              <w:t>5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95,</w:t>
            </w:r>
            <w:r>
              <w:rPr>
                <w:lang w:val="ru-RU"/>
              </w:rPr>
              <w:t>1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 острым инфарктом миокарда, которым проведена </w:t>
            </w:r>
            <w:proofErr w:type="spellStart"/>
            <w:r>
              <w:rPr>
                <w:lang w:val="ru-RU"/>
              </w:rPr>
              <w:t>тромболитическая</w:t>
            </w:r>
            <w:proofErr w:type="spellEnd"/>
            <w:r>
              <w:rPr>
                <w:lang w:val="ru-RU"/>
              </w:rPr>
      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  <w:rPr>
                <w:szCs w:val="24"/>
              </w:rPr>
            </w:pPr>
            <w:r>
              <w:rPr>
                <w:lang w:val="ru-RU"/>
              </w:rPr>
              <w:t>94,3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  <w:rPr>
                <w:strike/>
                <w:szCs w:val="24"/>
              </w:rPr>
            </w:pPr>
            <w:r>
              <w:rPr>
                <w:szCs w:val="24"/>
                <w:lang w:val="ru-RU"/>
              </w:rPr>
              <w:t>95,0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  <w:rPr>
                <w:strike/>
                <w:szCs w:val="24"/>
              </w:rPr>
            </w:pPr>
            <w:r>
              <w:rPr>
                <w:lang w:val="ru-RU"/>
              </w:rPr>
              <w:t>95,1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10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70</w:t>
            </w:r>
            <w:r>
              <w:rPr>
                <w:lang w:val="ru-RU"/>
              </w:rPr>
              <w:t>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70</w:t>
            </w:r>
            <w:r>
              <w:rPr>
                <w:lang w:val="ru-RU"/>
              </w:rPr>
              <w:t>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70</w:t>
            </w:r>
            <w:r>
              <w:rPr>
                <w:lang w:val="ru-RU"/>
              </w:rPr>
              <w:t>,0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ПСО или РСЦ пациентов с острыми цереброваскулярными болезнями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68</w:t>
            </w:r>
            <w:r>
              <w:rPr>
                <w:lang w:val="ru-RU"/>
              </w:rPr>
              <w:t>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68</w:t>
            </w:r>
            <w:r>
              <w:rPr>
                <w:lang w:val="ru-RU"/>
              </w:rPr>
              <w:t>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68</w:t>
            </w:r>
            <w:r>
              <w:rPr>
                <w:lang w:val="ru-RU"/>
              </w:rPr>
              <w:t>,0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lang w:val="ru-RU"/>
              </w:rPr>
              <w:t>тромболитическая</w:t>
            </w:r>
            <w:proofErr w:type="spellEnd"/>
            <w:r>
              <w:rPr>
                <w:lang w:val="ru-RU"/>
              </w:rPr>
              <w:t xml:space="preserve"> терапия, в общем количестве пациентов с острым ишемическим инсультом, госпитализированных в ПСО или РСЦ в первые 6 часов от начала заболевания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7,9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7,9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7,9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lang w:val="ru-RU"/>
              </w:rPr>
              <w:t>тромболитическая</w:t>
            </w:r>
            <w:proofErr w:type="spellEnd"/>
            <w:r>
              <w:rPr>
                <w:lang w:val="ru-RU"/>
              </w:rPr>
              <w:t xml:space="preserve"> терапия, в общем количестве пациентов с острым ишемическим инсультом, госпитализированных в ПСО и РСЦ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менее</w:t>
            </w:r>
            <w:proofErr w:type="spellEnd"/>
            <w:r>
              <w:t xml:space="preserve"> 5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менее</w:t>
            </w:r>
            <w:proofErr w:type="spellEnd"/>
            <w:r>
              <w:t xml:space="preserve"> 5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менее</w:t>
            </w:r>
            <w:proofErr w:type="spellEnd"/>
            <w:r>
              <w:t xml:space="preserve"> 5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пациентов, получающих обезболивание в ходе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пациентов, получающих лечебное (</w:t>
            </w:r>
            <w:proofErr w:type="spellStart"/>
            <w:r>
              <w:rPr>
                <w:lang w:val="ru-RU"/>
              </w:rPr>
              <w:t>энтеральное</w:t>
            </w:r>
            <w:proofErr w:type="spellEnd"/>
            <w:r>
              <w:rPr>
                <w:lang w:val="ru-RU"/>
              </w:rPr>
              <w:t xml:space="preserve">) питание при оказании паллиативной медицинской помощи, в общем количестве пациентов, нуждающихся в лечебном </w:t>
            </w:r>
            <w:r>
              <w:rPr>
                <w:lang w:val="ru-RU"/>
              </w:rPr>
              <w:lastRenderedPageBreak/>
              <w:t>(</w:t>
            </w:r>
            <w:proofErr w:type="spellStart"/>
            <w:r>
              <w:rPr>
                <w:lang w:val="ru-RU"/>
              </w:rPr>
              <w:t>энтеральном</w:t>
            </w:r>
            <w:proofErr w:type="spellEnd"/>
            <w:r>
              <w:rPr>
                <w:lang w:val="ru-RU"/>
              </w:rPr>
              <w:t>) питании при оказании паллиативной медицинской помощи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7</w:t>
            </w:r>
            <w:r>
              <w:rPr>
                <w:lang w:val="ru-RU"/>
              </w:rPr>
              <w:t>1,0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7</w:t>
            </w:r>
            <w:r>
              <w:rPr>
                <w:lang w:val="ru-RU"/>
              </w:rPr>
              <w:t>2,0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7</w:t>
            </w:r>
            <w:r>
              <w:rPr>
                <w:lang w:val="ru-RU"/>
              </w:rPr>
              <w:t>3,0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лиц репродуктивного возраста, прошедших диспансеризацию для оценки репродуктивного здоровья женщин и мужчин в том числе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  <w:rPr>
                <w:strike/>
                <w:szCs w:val="24"/>
              </w:rPr>
            </w:pPr>
            <w:r>
              <w:rPr>
                <w:lang w:val="ru-RU"/>
              </w:rPr>
              <w:t>32,0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  <w:rPr>
                <w:szCs w:val="24"/>
              </w:rPr>
            </w:pPr>
            <w:r>
              <w:rPr>
                <w:lang w:val="ru-RU"/>
              </w:rPr>
              <w:t>34,0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  <w:rPr>
                <w:szCs w:val="24"/>
              </w:rPr>
            </w:pPr>
            <w:r>
              <w:rPr>
                <w:lang w:val="ru-RU"/>
              </w:rPr>
              <w:t>36,0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6</w:t>
            </w:r>
            <w:r>
              <w:t>.1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мужчин</w:t>
            </w:r>
            <w:proofErr w:type="spellEnd"/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13,7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14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14,3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6</w:t>
            </w:r>
            <w:r>
              <w:t>.2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женщин</w:t>
            </w:r>
            <w:proofErr w:type="spellEnd"/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18</w:t>
            </w:r>
            <w:r>
              <w:t>,3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  <w:r>
              <w:rPr>
                <w:lang w:val="ru-RU"/>
              </w:rPr>
              <w:t>1</w:t>
            </w:r>
            <w:r>
              <w:t>,</w:t>
            </w:r>
            <w:r>
              <w:rPr>
                <w:lang w:val="ru-RU"/>
              </w:rPr>
              <w:t>7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«Женское бесплодие»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8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9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26</w:t>
            </w:r>
            <w:r>
              <w:rPr>
                <w:lang w:val="ru-RU"/>
              </w:rPr>
              <w:t>,6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  <w:r>
              <w:rPr>
                <w:lang w:val="ru-RU"/>
              </w:rPr>
              <w:t>7,0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27</w:t>
            </w:r>
            <w:r>
              <w:rPr>
                <w:lang w:val="ru-RU"/>
              </w:rPr>
              <w:t>,2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20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18,5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1</w:t>
            </w:r>
            <w:r>
              <w:t>9</w:t>
            </w:r>
            <w:r>
              <w:rPr>
                <w:lang w:val="ru-RU"/>
              </w:rPr>
              <w:t>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19,5</w:t>
            </w:r>
          </w:p>
        </w:tc>
      </w:tr>
      <w:tr w:rsidR="00B1485D" w:rsidTr="003A76BA">
        <w:trPr>
          <w:trHeight w:val="276"/>
        </w:trPr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21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color w:val="000000" w:themeColor="text1"/>
                <w:lang w:val="ru-RU"/>
              </w:rPr>
              <w:t>оличество обоснованных жалоб, в том числе на несоблюдение сроков ожидания оказания и на отказ в оказании медицинской помощи, предоставляемой в ходе Территориальной программы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не более 30, на отказ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не более 30, на отказ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не более 30, на отказ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22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охват диспансерным наблюдением граждан, состоящих на учете в медицинской организации с диагнозом «бронхиальная астма», процентов в год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процент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9</w:t>
            </w:r>
            <w:r>
              <w:rPr>
                <w:lang w:val="ru-RU"/>
              </w:rPr>
              <w:t>0,5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91,0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9</w:t>
            </w:r>
            <w:r>
              <w:rPr>
                <w:lang w:val="ru-RU"/>
              </w:rPr>
              <w:t>1</w:t>
            </w:r>
            <w:r>
              <w:t>,</w:t>
            </w:r>
            <w:r>
              <w:rPr>
                <w:lang w:val="ru-RU"/>
              </w:rPr>
              <w:t>5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23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охват диспансерным наблюдением граждан, состоящих на учете в медицинской организации с диагнозом «хроническая </w:t>
            </w:r>
            <w:proofErr w:type="spellStart"/>
            <w:r>
              <w:rPr>
                <w:lang w:val="ru-RU"/>
              </w:rPr>
              <w:t>обструктивная</w:t>
            </w:r>
            <w:proofErr w:type="spellEnd"/>
            <w:r>
              <w:rPr>
                <w:lang w:val="ru-RU"/>
              </w:rPr>
              <w:t xml:space="preserve"> болезнь легких», процентов в год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процент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8</w:t>
            </w:r>
            <w:r>
              <w:rPr>
                <w:lang w:val="ru-RU"/>
              </w:rPr>
              <w:t>7</w:t>
            </w:r>
            <w:r>
              <w:t>,</w:t>
            </w:r>
            <w:r>
              <w:rPr>
                <w:lang w:val="ru-RU"/>
              </w:rPr>
              <w:t>5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8</w:t>
            </w:r>
            <w:r>
              <w:rPr>
                <w:lang w:val="ru-RU"/>
              </w:rPr>
              <w:t>8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8</w:t>
            </w:r>
            <w:r>
              <w:rPr>
                <w:lang w:val="ru-RU"/>
              </w:rPr>
              <w:t>8</w:t>
            </w:r>
            <w:r>
              <w:t>,5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  <w:r>
              <w:rPr>
                <w:lang w:val="ru-RU"/>
              </w:rPr>
              <w:t>4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 диагнозом </w:t>
            </w:r>
            <w:r>
              <w:rPr>
                <w:lang w:val="ru-RU"/>
              </w:rPr>
              <w:lastRenderedPageBreak/>
              <w:t>«хроническая сердечная недостаточность», находящихся под диспансерным наблюдением, получающих лекарственное обеспечение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35</w:t>
            </w:r>
            <w:r>
              <w:rPr>
                <w:lang w:val="ru-RU"/>
              </w:rPr>
              <w:t>,6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3</w:t>
            </w:r>
            <w:r>
              <w:rPr>
                <w:lang w:val="ru-RU"/>
              </w:rPr>
              <w:t>6,0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36</w:t>
            </w:r>
            <w:r>
              <w:rPr>
                <w:lang w:val="ru-RU"/>
              </w:rPr>
              <w:t>,5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  <w:r>
              <w:rPr>
                <w:lang w:val="ru-RU"/>
              </w:rPr>
              <w:t>5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охват диспансерным наблюдением граждан, состоящих на учете в медицинской организации с диагнозом «гипертоническая болезнь», процентов в год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90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90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90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  <w:r>
              <w:rPr>
                <w:lang w:val="ru-RU"/>
              </w:rPr>
              <w:t>6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охват диспансерным наблюдением граждан, состоящих на учете в медицинской организации с диагнозом «сахарный диабет», процентов в год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80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80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80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  <w:r>
              <w:rPr>
                <w:lang w:val="ru-RU"/>
              </w:rPr>
              <w:t>7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количество пациентов с гепатитом </w:t>
            </w:r>
            <w:r>
              <w:t>C</w:t>
            </w:r>
            <w:r>
              <w:rPr>
                <w:lang w:val="ru-RU"/>
              </w:rPr>
              <w:t>, получивших противовирусную терапию, на 100 тыс. населения в год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65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7</w:t>
            </w:r>
            <w:r>
              <w:t>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7</w:t>
            </w:r>
            <w:r>
              <w:rPr>
                <w:lang w:val="ru-RU"/>
              </w:rPr>
              <w:t>5</w:t>
            </w:r>
          </w:p>
        </w:tc>
      </w:tr>
      <w:tr w:rsidR="00B1485D" w:rsidTr="003A76BA">
        <w:trPr>
          <w:trHeight w:val="276"/>
        </w:trPr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  <w:r>
              <w:rPr>
                <w:lang w:val="ru-RU"/>
              </w:rPr>
              <w:t>8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>
              <w:rPr>
                <w:lang w:val="ru-RU"/>
              </w:rPr>
              <w:t>энтеральное</w:t>
            </w:r>
            <w:proofErr w:type="spellEnd"/>
            <w:r>
              <w:rPr>
                <w:lang w:val="ru-RU"/>
              </w:rPr>
              <w:t>) питание, из числа нуждающихся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  <w:r>
              <w:rPr>
                <w:lang w:val="ru-RU"/>
              </w:rPr>
              <w:t>9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80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80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80</w:t>
            </w:r>
          </w:p>
        </w:tc>
      </w:tr>
      <w:tr w:rsidR="00B1485D" w:rsidTr="003A76BA">
        <w:trPr>
          <w:trHeight w:val="276"/>
        </w:trPr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rPr>
                <w:color w:val="000000" w:themeColor="text1"/>
                <w:lang w:val="ru-RU"/>
              </w:rPr>
              <w:t>30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Доля лиц старше 65 лет, которым проведена </w:t>
            </w:r>
            <w:proofErr w:type="spellStart"/>
            <w:r>
              <w:rPr>
                <w:color w:val="000000" w:themeColor="text1"/>
                <w:lang w:val="ru-RU"/>
              </w:rPr>
              <w:t>противопневмококковая</w:t>
            </w:r>
            <w:proofErr w:type="spellEnd"/>
            <w:r>
              <w:rPr>
                <w:color w:val="000000" w:themeColor="text1"/>
                <w:lang w:val="ru-RU"/>
              </w:rPr>
              <w:t xml:space="preserve"> вакцинация (13-валентной и (или) 23-валентной вакциной)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50,0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55,5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60,0</w:t>
            </w:r>
          </w:p>
        </w:tc>
      </w:tr>
      <w:tr w:rsidR="00B1485D" w:rsidTr="003A76BA">
        <w:tc>
          <w:tcPr>
            <w:tcW w:w="9638" w:type="dxa"/>
            <w:gridSpan w:val="6"/>
          </w:tcPr>
          <w:p w:rsidR="00B1485D" w:rsidRDefault="00B1485D" w:rsidP="003A76BA">
            <w:pPr>
              <w:pStyle w:val="ConsPlusNormal"/>
              <w:outlineLvl w:val="2"/>
              <w:rPr>
                <w:lang w:val="ru-RU"/>
              </w:rPr>
            </w:pPr>
            <w:r>
              <w:t>III</w:t>
            </w:r>
            <w:r>
              <w:rPr>
                <w:lang w:val="ru-RU"/>
              </w:rPr>
              <w:t>. Критерии оценки эффективности деятельности медицинских организаций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Выполнение функции врачебной должности, всего в том числе в медицинских организациях:</w:t>
            </w:r>
          </w:p>
        </w:tc>
        <w:tc>
          <w:tcPr>
            <w:tcW w:w="1701" w:type="dxa"/>
            <w:vMerge w:val="restart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число амбулаторных посещений в год на 1 занятую должность (без учета среднего медицинского персонала, занимающего врачебные должности)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3300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3300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3300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1.1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расположенных</w:t>
            </w:r>
            <w:proofErr w:type="spellEnd"/>
            <w:r>
              <w:t xml:space="preserve"> в </w:t>
            </w:r>
            <w:proofErr w:type="spellStart"/>
            <w:r>
              <w:t>городской</w:t>
            </w:r>
            <w:proofErr w:type="spellEnd"/>
            <w:r>
              <w:t xml:space="preserve"> </w:t>
            </w:r>
            <w:proofErr w:type="spellStart"/>
            <w:r>
              <w:t>местности</w:t>
            </w:r>
            <w:proofErr w:type="spellEnd"/>
          </w:p>
        </w:tc>
        <w:tc>
          <w:tcPr>
            <w:tcW w:w="1701" w:type="dxa"/>
            <w:vMerge/>
          </w:tcPr>
          <w:p w:rsidR="00B1485D" w:rsidRDefault="00B1485D" w:rsidP="003A76BA">
            <w:pPr>
              <w:pStyle w:val="ConsPlusNormal"/>
            </w:pP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3310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3310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3310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1.2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расположенных</w:t>
            </w:r>
            <w:proofErr w:type="spellEnd"/>
            <w:r>
              <w:t xml:space="preserve"> в </w:t>
            </w:r>
            <w:proofErr w:type="spellStart"/>
            <w:r>
              <w:t>сельской</w:t>
            </w:r>
            <w:proofErr w:type="spellEnd"/>
            <w:r>
              <w:t xml:space="preserve"> </w:t>
            </w:r>
            <w:proofErr w:type="spellStart"/>
            <w:r>
              <w:t>местности</w:t>
            </w:r>
            <w:proofErr w:type="spellEnd"/>
          </w:p>
        </w:tc>
        <w:tc>
          <w:tcPr>
            <w:tcW w:w="1701" w:type="dxa"/>
            <w:vMerge/>
          </w:tcPr>
          <w:p w:rsidR="00B1485D" w:rsidRDefault="00B1485D" w:rsidP="003A76BA">
            <w:pPr>
              <w:pStyle w:val="ConsPlusNormal"/>
            </w:pP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3170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3170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3170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Среднегодовая занятость койки, всего в том числе в медицинских организациях:</w:t>
            </w:r>
          </w:p>
        </w:tc>
        <w:tc>
          <w:tcPr>
            <w:tcW w:w="1701" w:type="dxa"/>
            <w:vMerge w:val="restart"/>
          </w:tcPr>
          <w:p w:rsidR="00B1485D" w:rsidRDefault="00B1485D" w:rsidP="003A76BA">
            <w:pPr>
              <w:pStyle w:val="ConsPlusNormal"/>
            </w:pPr>
            <w:proofErr w:type="spellStart"/>
            <w:r>
              <w:t>дней</w:t>
            </w:r>
            <w:proofErr w:type="spellEnd"/>
            <w:r>
              <w:t xml:space="preserve"> в </w:t>
            </w:r>
            <w:proofErr w:type="spellStart"/>
            <w:r>
              <w:t>году</w:t>
            </w:r>
            <w:proofErr w:type="spellEnd"/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330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330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330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2.1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</w:pPr>
            <w:r>
              <w:t xml:space="preserve">в </w:t>
            </w:r>
            <w:proofErr w:type="spellStart"/>
            <w:r>
              <w:t>городской</w:t>
            </w:r>
            <w:proofErr w:type="spellEnd"/>
            <w:r>
              <w:t xml:space="preserve"> </w:t>
            </w:r>
            <w:proofErr w:type="spellStart"/>
            <w:r>
              <w:t>местности</w:t>
            </w:r>
            <w:proofErr w:type="spellEnd"/>
          </w:p>
        </w:tc>
        <w:tc>
          <w:tcPr>
            <w:tcW w:w="1701" w:type="dxa"/>
            <w:vMerge/>
          </w:tcPr>
          <w:p w:rsidR="00B1485D" w:rsidRDefault="00B1485D" w:rsidP="003A76BA">
            <w:pPr>
              <w:pStyle w:val="ConsPlusNormal"/>
            </w:pP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333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333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333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</w:pPr>
            <w:r>
              <w:t xml:space="preserve">в </w:t>
            </w:r>
            <w:proofErr w:type="spellStart"/>
            <w:r>
              <w:t>сельской</w:t>
            </w:r>
            <w:proofErr w:type="spellEnd"/>
            <w:r>
              <w:t xml:space="preserve"> </w:t>
            </w:r>
            <w:proofErr w:type="spellStart"/>
            <w:r>
              <w:t>местности</w:t>
            </w:r>
            <w:proofErr w:type="spellEnd"/>
          </w:p>
        </w:tc>
        <w:tc>
          <w:tcPr>
            <w:tcW w:w="1701" w:type="dxa"/>
            <w:vMerge/>
          </w:tcPr>
          <w:p w:rsidR="00B1485D" w:rsidRDefault="00B1485D" w:rsidP="003A76BA">
            <w:pPr>
              <w:pStyle w:val="ConsPlusNormal"/>
            </w:pP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315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315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315</w:t>
            </w:r>
          </w:p>
        </w:tc>
      </w:tr>
    </w:tbl>
    <w:p w:rsidR="00C35867" w:rsidRDefault="00C35867"/>
    <w:sectPr w:rsidR="00C3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5D"/>
    <w:rsid w:val="00156627"/>
    <w:rsid w:val="00340732"/>
    <w:rsid w:val="00B1485D"/>
    <w:rsid w:val="00C35867"/>
    <w:rsid w:val="00C8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AF151-61B3-4577-BF25-B33EA3EB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5D"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8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B1485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148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1427</Words>
  <Characters>8136</Characters>
  <Application>Microsoft Office Word</Application>
  <DocSecurity>0</DocSecurity>
  <Lines>67</Lines>
  <Paragraphs>19</Paragraphs>
  <ScaleCrop>false</ScaleCrop>
  <Company/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Эльвира</cp:lastModifiedBy>
  <cp:revision>5</cp:revision>
  <dcterms:created xsi:type="dcterms:W3CDTF">2025-01-17T09:46:00Z</dcterms:created>
  <dcterms:modified xsi:type="dcterms:W3CDTF">2025-02-05T08:09:00Z</dcterms:modified>
</cp:coreProperties>
</file>